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4F1" w:rsidRPr="00A554F1" w:rsidRDefault="00A554F1" w:rsidP="005A5BD8">
      <w:pPr>
        <w:contextualSpacing/>
        <w:jc w:val="center"/>
        <w:rPr>
          <w:rFonts w:ascii="Times New Roman" w:hAnsi="Times New Roman" w:cs="Times New Roman"/>
          <w:b/>
          <w:sz w:val="24"/>
          <w:szCs w:val="24"/>
        </w:rPr>
      </w:pPr>
      <w:r w:rsidRPr="00A554F1">
        <w:rPr>
          <w:rFonts w:ascii="Times New Roman" w:hAnsi="Times New Roman" w:cs="Times New Roman"/>
          <w:b/>
          <w:sz w:val="24"/>
          <w:szCs w:val="24"/>
        </w:rPr>
        <w:t>IL PROBLEMA MULTE</w:t>
      </w:r>
    </w:p>
    <w:p w:rsidR="00A554F1" w:rsidRPr="00A554F1" w:rsidRDefault="00A554F1" w:rsidP="005A5BD8">
      <w:pPr>
        <w:contextualSpacing/>
        <w:jc w:val="center"/>
        <w:rPr>
          <w:rFonts w:ascii="Times New Roman" w:hAnsi="Times New Roman" w:cs="Times New Roman"/>
          <w:b/>
          <w:sz w:val="24"/>
          <w:szCs w:val="24"/>
        </w:rPr>
      </w:pPr>
      <w:r>
        <w:rPr>
          <w:rFonts w:ascii="Times New Roman" w:hAnsi="Times New Roman" w:cs="Times New Roman"/>
          <w:b/>
          <w:sz w:val="24"/>
          <w:szCs w:val="24"/>
        </w:rPr>
        <w:t>Dal giudice o dal prefetto</w:t>
      </w:r>
      <w:r w:rsidRPr="00A554F1">
        <w:rPr>
          <w:rFonts w:ascii="Times New Roman" w:hAnsi="Times New Roman" w:cs="Times New Roman"/>
          <w:b/>
          <w:sz w:val="24"/>
          <w:szCs w:val="24"/>
        </w:rPr>
        <w:t>: pro e contro dei due ricorsi</w:t>
      </w:r>
    </w:p>
    <w:p w:rsidR="00A554F1" w:rsidRDefault="00A554F1" w:rsidP="005A5BD8">
      <w:pPr>
        <w:contextualSpacing/>
        <w:jc w:val="center"/>
        <w:rPr>
          <w:rFonts w:ascii="Times New Roman" w:hAnsi="Times New Roman" w:cs="Times New Roman"/>
        </w:rPr>
      </w:pPr>
      <w:r w:rsidRPr="00A554F1">
        <w:rPr>
          <w:rFonts w:ascii="Times New Roman" w:hAnsi="Times New Roman" w:cs="Times New Roman"/>
        </w:rPr>
        <w:t>(</w:t>
      </w:r>
      <w:proofErr w:type="gramStart"/>
      <w:r w:rsidRPr="00A554F1">
        <w:rPr>
          <w:rFonts w:ascii="Times New Roman" w:hAnsi="Times New Roman" w:cs="Times New Roman"/>
        </w:rPr>
        <w:t>di</w:t>
      </w:r>
      <w:proofErr w:type="gramEnd"/>
      <w:r w:rsidRPr="00A554F1">
        <w:rPr>
          <w:rFonts w:ascii="Times New Roman" w:hAnsi="Times New Roman" w:cs="Times New Roman"/>
        </w:rPr>
        <w:t xml:space="preserve"> Marisa </w:t>
      </w:r>
      <w:proofErr w:type="spellStart"/>
      <w:r w:rsidRPr="00A554F1">
        <w:rPr>
          <w:rFonts w:ascii="Times New Roman" w:hAnsi="Times New Roman" w:cs="Times New Roman"/>
        </w:rPr>
        <w:t>Marraffino</w:t>
      </w:r>
      <w:proofErr w:type="spellEnd"/>
      <w:r w:rsidRPr="00A554F1">
        <w:rPr>
          <w:rFonts w:ascii="Times New Roman" w:hAnsi="Times New Roman" w:cs="Times New Roman"/>
        </w:rPr>
        <w:t>, da “Il Sole 24 Ore” del 2 Agosto 2016)</w:t>
      </w:r>
    </w:p>
    <w:p w:rsidR="00A554F1" w:rsidRPr="00A554F1" w:rsidRDefault="00A554F1">
      <w:pPr>
        <w:contextualSpacing/>
        <w:rPr>
          <w:rFonts w:ascii="Times New Roman" w:hAnsi="Times New Roman" w:cs="Times New Roman"/>
        </w:rPr>
      </w:pPr>
    </w:p>
    <w:p w:rsidR="003E1D58" w:rsidRPr="003E1D58" w:rsidRDefault="00A554F1" w:rsidP="003E1D58">
      <w:pPr>
        <w:contextualSpacing/>
        <w:jc w:val="both"/>
        <w:rPr>
          <w:rFonts w:ascii="Times New Roman" w:hAnsi="Times New Roman" w:cs="Times New Roman"/>
        </w:rPr>
      </w:pPr>
      <w:r w:rsidRPr="003E1D58">
        <w:rPr>
          <w:rFonts w:ascii="Times New Roman" w:hAnsi="Times New Roman" w:cs="Times New Roman"/>
        </w:rPr>
        <w:t xml:space="preserve">Le modalità per contestare un verbale di infrazione al Codice della strada sono due: il ricorso al giudice di pace e al Prefetto. In entrambi i casi non è obbligatoria l’assistenza del difensore, ma le regole sono diverse. </w:t>
      </w:r>
    </w:p>
    <w:p w:rsidR="003E1D58" w:rsidRDefault="003E1D58" w:rsidP="003E1D58">
      <w:pPr>
        <w:contextualSpacing/>
        <w:jc w:val="both"/>
        <w:rPr>
          <w:rFonts w:ascii="Times New Roman" w:hAnsi="Times New Roman" w:cs="Times New Roman"/>
        </w:rPr>
      </w:pPr>
    </w:p>
    <w:p w:rsidR="00A554F1" w:rsidRPr="003E1D58" w:rsidRDefault="00A554F1" w:rsidP="003E1D58">
      <w:pPr>
        <w:contextualSpacing/>
        <w:jc w:val="both"/>
        <w:rPr>
          <w:rFonts w:ascii="Times New Roman" w:hAnsi="Times New Roman" w:cs="Times New Roman"/>
          <w:b/>
        </w:rPr>
      </w:pPr>
      <w:r w:rsidRPr="003E1D58">
        <w:rPr>
          <w:rFonts w:ascii="Times New Roman" w:hAnsi="Times New Roman" w:cs="Times New Roman"/>
          <w:b/>
        </w:rPr>
        <w:t xml:space="preserve">Davanti al giudice di pace il termine per impugnare la multa è di trenta giorni dalla data di notifica o dalla consegna del verbale in caso di contestazione immediata; davanti al Prefetto i giorni salgono a sessanta ma non scatta la sospensione estiva. </w:t>
      </w:r>
    </w:p>
    <w:p w:rsidR="003E1D58" w:rsidRDefault="003E1D58" w:rsidP="003E1D58">
      <w:pPr>
        <w:contextualSpacing/>
        <w:jc w:val="both"/>
        <w:rPr>
          <w:rFonts w:ascii="Times New Roman" w:hAnsi="Times New Roman" w:cs="Times New Roman"/>
        </w:rPr>
      </w:pPr>
    </w:p>
    <w:p w:rsidR="00A554F1" w:rsidRDefault="00A554F1" w:rsidP="003E1D58">
      <w:pPr>
        <w:contextualSpacing/>
        <w:jc w:val="both"/>
        <w:rPr>
          <w:rFonts w:ascii="Times New Roman" w:hAnsi="Times New Roman" w:cs="Times New Roman"/>
        </w:rPr>
      </w:pPr>
      <w:r w:rsidRPr="00A554F1">
        <w:rPr>
          <w:rFonts w:ascii="Times New Roman" w:hAnsi="Times New Roman" w:cs="Times New Roman"/>
        </w:rPr>
        <w:t>Soltanto per il discorso giurisdizionale</w:t>
      </w:r>
      <w:r w:rsidR="003E1D58">
        <w:rPr>
          <w:rFonts w:ascii="Times New Roman" w:hAnsi="Times New Roman" w:cs="Times New Roman"/>
        </w:rPr>
        <w:t xml:space="preserve"> (Giudice di Pace)</w:t>
      </w:r>
      <w:r w:rsidRPr="00A554F1">
        <w:rPr>
          <w:rFonts w:ascii="Times New Roman" w:hAnsi="Times New Roman" w:cs="Times New Roman"/>
        </w:rPr>
        <w:t>, infatti non si contano i giorni dal</w:t>
      </w:r>
      <w:r>
        <w:rPr>
          <w:rFonts w:ascii="Times New Roman" w:hAnsi="Times New Roman" w:cs="Times New Roman"/>
        </w:rPr>
        <w:t xml:space="preserve"> primo al</w:t>
      </w:r>
      <w:r w:rsidRPr="00A554F1">
        <w:rPr>
          <w:rFonts w:ascii="Times New Roman" w:hAnsi="Times New Roman" w:cs="Times New Roman"/>
        </w:rPr>
        <w:t xml:space="preserve"> 31 Agosto. Nel caso in cui il verbale preveda anche la decurtazione dei punti della patente, può presentare il ricorso non solo il proprietario del veicolo, ma anche il conducente nel caso in cui abbia comunicato i propri </w:t>
      </w:r>
      <w:proofErr w:type="gramStart"/>
      <w:r w:rsidRPr="00A554F1">
        <w:rPr>
          <w:rFonts w:ascii="Times New Roman" w:hAnsi="Times New Roman" w:cs="Times New Roman"/>
        </w:rPr>
        <w:t>dati  all’amministrazione</w:t>
      </w:r>
      <w:proofErr w:type="gramEnd"/>
      <w:r w:rsidRPr="00A554F1">
        <w:rPr>
          <w:rFonts w:ascii="Times New Roman" w:hAnsi="Times New Roman" w:cs="Times New Roman"/>
        </w:rPr>
        <w:t xml:space="preserve"> procedente, anche se il verbale non gli è ancora stato notificato (Tribunale di Perugia, senten</w:t>
      </w:r>
      <w:r>
        <w:rPr>
          <w:rFonts w:ascii="Times New Roman" w:hAnsi="Times New Roman" w:cs="Times New Roman"/>
        </w:rPr>
        <w:t xml:space="preserve">za n.1946 del 30/062014). </w:t>
      </w:r>
    </w:p>
    <w:p w:rsidR="003E1D58" w:rsidRDefault="003E1D58" w:rsidP="003E1D58">
      <w:pPr>
        <w:contextualSpacing/>
        <w:jc w:val="both"/>
        <w:rPr>
          <w:rFonts w:ascii="Times New Roman" w:hAnsi="Times New Roman" w:cs="Times New Roman"/>
        </w:rPr>
      </w:pPr>
    </w:p>
    <w:p w:rsidR="00A554F1" w:rsidRDefault="00A554F1" w:rsidP="003E1D58">
      <w:pPr>
        <w:contextualSpacing/>
        <w:jc w:val="both"/>
        <w:rPr>
          <w:rFonts w:ascii="Times New Roman" w:hAnsi="Times New Roman" w:cs="Times New Roman"/>
        </w:rPr>
      </w:pPr>
      <w:r>
        <w:rPr>
          <w:rFonts w:ascii="Times New Roman" w:hAnsi="Times New Roman" w:cs="Times New Roman"/>
        </w:rPr>
        <w:t>Per i giudici, il proprietario del mezzo è sempre obbligato ad annotare il nominativo delle persone alle quali presta il veicolo. In caso contrario, scatterà la sanzione pr</w:t>
      </w:r>
      <w:r w:rsidR="001748D0">
        <w:rPr>
          <w:rFonts w:ascii="Times New Roman" w:hAnsi="Times New Roman" w:cs="Times New Roman"/>
        </w:rPr>
        <w:t>evista dall’articolo 126bis del</w:t>
      </w:r>
      <w:r>
        <w:rPr>
          <w:rFonts w:ascii="Times New Roman" w:hAnsi="Times New Roman" w:cs="Times New Roman"/>
        </w:rPr>
        <w:t xml:space="preserve"> Codice della strada per non aver comunicato i dati del conducente. A nulla vale sostenere di </w:t>
      </w:r>
      <w:r w:rsidR="001748D0">
        <w:rPr>
          <w:rFonts w:ascii="Times New Roman" w:hAnsi="Times New Roman" w:cs="Times New Roman"/>
        </w:rPr>
        <w:t>a</w:t>
      </w:r>
      <w:r>
        <w:rPr>
          <w:rFonts w:ascii="Times New Roman" w:hAnsi="Times New Roman" w:cs="Times New Roman"/>
        </w:rPr>
        <w:t>vere molti collaboratori e di non ricordarsi a chi si è prestato il veicolo. L’obbligo di collaborazione che si richiede al proprietario, reale custode del bene mobile, attraverso cui è stata commessa la violazion</w:t>
      </w:r>
      <w:r w:rsidR="001748D0">
        <w:rPr>
          <w:rFonts w:ascii="Times New Roman" w:hAnsi="Times New Roman" w:cs="Times New Roman"/>
        </w:rPr>
        <w:t>e al Codice della strada, è tal</w:t>
      </w:r>
      <w:r>
        <w:rPr>
          <w:rFonts w:ascii="Times New Roman" w:hAnsi="Times New Roman" w:cs="Times New Roman"/>
        </w:rPr>
        <w:t xml:space="preserve">mente incisivo da imporgli di vigilare costantemente sull’affidamento del mezzo in modo tale da essere sempre in grado di adempiere al dovere di comunicare all’identità del conducente e, in caso contrario, di non consentire affatto la circolazione. (Tribunale di Monza, sentenza 2206 del 22/09/2015). </w:t>
      </w:r>
    </w:p>
    <w:p w:rsidR="003E1D58" w:rsidRDefault="003E1D58" w:rsidP="003E1D58">
      <w:pPr>
        <w:contextualSpacing/>
        <w:jc w:val="both"/>
        <w:rPr>
          <w:rFonts w:ascii="Times New Roman" w:hAnsi="Times New Roman" w:cs="Times New Roman"/>
        </w:rPr>
      </w:pPr>
    </w:p>
    <w:p w:rsidR="00A554F1" w:rsidRDefault="00A554F1" w:rsidP="003E1D58">
      <w:pPr>
        <w:contextualSpacing/>
        <w:jc w:val="both"/>
        <w:rPr>
          <w:rFonts w:ascii="Times New Roman" w:hAnsi="Times New Roman" w:cs="Times New Roman"/>
        </w:rPr>
      </w:pPr>
      <w:r>
        <w:rPr>
          <w:rFonts w:ascii="Times New Roman" w:hAnsi="Times New Roman" w:cs="Times New Roman"/>
        </w:rPr>
        <w:t xml:space="preserve">Se si vuole impugnare il verbale, in ogni caso non si dovrà pagare la multa, nemmeno entro i 5 giorni dalla notifica beneficiando dello sconto del 30%. Il pagamento, anche in forma ridotta, preclude infatti entrambi i ricorsi. </w:t>
      </w:r>
    </w:p>
    <w:p w:rsidR="003E1D58" w:rsidRDefault="003E1D58" w:rsidP="003E1D58">
      <w:pPr>
        <w:contextualSpacing/>
        <w:jc w:val="both"/>
        <w:rPr>
          <w:rFonts w:ascii="Times New Roman" w:hAnsi="Times New Roman" w:cs="Times New Roman"/>
        </w:rPr>
      </w:pPr>
    </w:p>
    <w:p w:rsidR="001748D0" w:rsidRDefault="00A554F1" w:rsidP="003E1D58">
      <w:pPr>
        <w:contextualSpacing/>
        <w:jc w:val="both"/>
        <w:rPr>
          <w:rFonts w:ascii="Times New Roman" w:hAnsi="Times New Roman" w:cs="Times New Roman"/>
        </w:rPr>
      </w:pPr>
      <w:r w:rsidRPr="003E1D58">
        <w:rPr>
          <w:rFonts w:ascii="Times New Roman" w:hAnsi="Times New Roman" w:cs="Times New Roman"/>
          <w:b/>
        </w:rPr>
        <w:t>Il ricorso al giudice di pace non è gratuito: è necessario infatti anticipare un cont</w:t>
      </w:r>
      <w:r w:rsidR="001748D0" w:rsidRPr="003E1D58">
        <w:rPr>
          <w:rFonts w:ascii="Times New Roman" w:hAnsi="Times New Roman" w:cs="Times New Roman"/>
          <w:b/>
        </w:rPr>
        <w:t>r</w:t>
      </w:r>
      <w:r w:rsidRPr="003E1D58">
        <w:rPr>
          <w:rFonts w:ascii="Times New Roman" w:hAnsi="Times New Roman" w:cs="Times New Roman"/>
          <w:b/>
        </w:rPr>
        <w:t>ibuto unificato di 43</w:t>
      </w:r>
      <w:r w:rsidR="003E1D58">
        <w:rPr>
          <w:rFonts w:ascii="Times New Roman" w:hAnsi="Times New Roman" w:cs="Times New Roman"/>
          <w:b/>
        </w:rPr>
        <w:t xml:space="preserve"> </w:t>
      </w:r>
      <w:r w:rsidRPr="003E1D58">
        <w:rPr>
          <w:rFonts w:ascii="Times New Roman" w:hAnsi="Times New Roman" w:cs="Times New Roman"/>
          <w:b/>
        </w:rPr>
        <w:t xml:space="preserve">euro da versare contestualmente al deposito del ricorso per i verbali </w:t>
      </w:r>
      <w:r w:rsidR="003E1D58">
        <w:rPr>
          <w:rFonts w:ascii="Times New Roman" w:hAnsi="Times New Roman" w:cs="Times New Roman"/>
          <w:b/>
        </w:rPr>
        <w:t>che non superano il valore di 1</w:t>
      </w:r>
      <w:r w:rsidRPr="003E1D58">
        <w:rPr>
          <w:rFonts w:ascii="Times New Roman" w:hAnsi="Times New Roman" w:cs="Times New Roman"/>
          <w:b/>
        </w:rPr>
        <w:t>033 euro, occorrerà aggiungere la marca da bollo da euro 27 per i verbali di importo compreso tra 1033 a 1100 euro, mentre per i valori superiori il contributo sale a 98 euro</w:t>
      </w:r>
      <w:r w:rsidR="003E1D58" w:rsidRPr="003E1D58">
        <w:rPr>
          <w:rFonts w:ascii="Times New Roman" w:hAnsi="Times New Roman" w:cs="Times New Roman"/>
          <w:b/>
        </w:rPr>
        <w:t xml:space="preserve"> (fino</w:t>
      </w:r>
      <w:r w:rsidR="003E1D58">
        <w:rPr>
          <w:rFonts w:ascii="Times New Roman" w:hAnsi="Times New Roman" w:cs="Times New Roman"/>
          <w:b/>
        </w:rPr>
        <w:t xml:space="preserve"> ad arrivare</w:t>
      </w:r>
      <w:r w:rsidR="003E1D58" w:rsidRPr="003E1D58">
        <w:rPr>
          <w:rFonts w:ascii="Times New Roman" w:hAnsi="Times New Roman" w:cs="Times New Roman"/>
          <w:b/>
        </w:rPr>
        <w:t xml:space="preserve"> a 237 euro + 27 euro per sanzioni con valore indeterminato</w:t>
      </w:r>
      <w:r w:rsidR="003E1D58">
        <w:rPr>
          <w:rFonts w:ascii="Times New Roman" w:hAnsi="Times New Roman" w:cs="Times New Roman"/>
          <w:b/>
        </w:rPr>
        <w:t>/indeterminabile</w:t>
      </w:r>
      <w:r w:rsidR="003E1D58" w:rsidRPr="003E1D58">
        <w:rPr>
          <w:rFonts w:ascii="Times New Roman" w:hAnsi="Times New Roman" w:cs="Times New Roman"/>
          <w:b/>
        </w:rPr>
        <w:t xml:space="preserve"> – per esempio ordinanze </w:t>
      </w:r>
      <w:r w:rsidR="003E1D58">
        <w:rPr>
          <w:rFonts w:ascii="Times New Roman" w:hAnsi="Times New Roman" w:cs="Times New Roman"/>
          <w:b/>
        </w:rPr>
        <w:t xml:space="preserve">di </w:t>
      </w:r>
      <w:r w:rsidR="003E1D58" w:rsidRPr="003E1D58">
        <w:rPr>
          <w:rFonts w:ascii="Times New Roman" w:hAnsi="Times New Roman" w:cs="Times New Roman"/>
          <w:b/>
        </w:rPr>
        <w:t xml:space="preserve">sospensione di patente – </w:t>
      </w:r>
      <w:proofErr w:type="spellStart"/>
      <w:r w:rsidR="003E1D58" w:rsidRPr="003E1D58">
        <w:rPr>
          <w:rFonts w:ascii="Times New Roman" w:hAnsi="Times New Roman" w:cs="Times New Roman"/>
          <w:b/>
        </w:rPr>
        <w:t>n</w:t>
      </w:r>
      <w:r w:rsidR="00D568C3">
        <w:rPr>
          <w:rFonts w:ascii="Times New Roman" w:hAnsi="Times New Roman" w:cs="Times New Roman"/>
          <w:b/>
        </w:rPr>
        <w:t>.</w:t>
      </w:r>
      <w:r w:rsidR="003E1D58" w:rsidRPr="003E1D58">
        <w:rPr>
          <w:rFonts w:ascii="Times New Roman" w:hAnsi="Times New Roman" w:cs="Times New Roman"/>
          <w:b/>
        </w:rPr>
        <w:t>d</w:t>
      </w:r>
      <w:r w:rsidR="00D568C3">
        <w:rPr>
          <w:rFonts w:ascii="Times New Roman" w:hAnsi="Times New Roman" w:cs="Times New Roman"/>
          <w:b/>
        </w:rPr>
        <w:t>.</w:t>
      </w:r>
      <w:r w:rsidR="003E1D58" w:rsidRPr="003E1D58">
        <w:rPr>
          <w:rFonts w:ascii="Times New Roman" w:hAnsi="Times New Roman" w:cs="Times New Roman"/>
          <w:b/>
        </w:rPr>
        <w:t>r</w:t>
      </w:r>
      <w:r w:rsidR="00D568C3">
        <w:rPr>
          <w:rFonts w:ascii="Times New Roman" w:hAnsi="Times New Roman" w:cs="Times New Roman"/>
          <w:b/>
        </w:rPr>
        <w:t>.</w:t>
      </w:r>
      <w:proofErr w:type="spellEnd"/>
      <w:r w:rsidR="003E1D58">
        <w:rPr>
          <w:rFonts w:ascii="Times New Roman" w:hAnsi="Times New Roman" w:cs="Times New Roman"/>
          <w:b/>
        </w:rPr>
        <w:t>, si veda tabella allegata</w:t>
      </w:r>
      <w:r w:rsidR="003E1D58" w:rsidRPr="003E1D58">
        <w:rPr>
          <w:rFonts w:ascii="Times New Roman" w:hAnsi="Times New Roman" w:cs="Times New Roman"/>
          <w:b/>
        </w:rPr>
        <w:t>).</w:t>
      </w:r>
      <w:r w:rsidR="003E1D58">
        <w:rPr>
          <w:rFonts w:ascii="Times New Roman" w:hAnsi="Times New Roman" w:cs="Times New Roman"/>
          <w:b/>
        </w:rPr>
        <w:t xml:space="preserve"> </w:t>
      </w:r>
      <w:r>
        <w:rPr>
          <w:rFonts w:ascii="Times New Roman" w:hAnsi="Times New Roman" w:cs="Times New Roman"/>
        </w:rPr>
        <w:t xml:space="preserve">  </w:t>
      </w:r>
    </w:p>
    <w:p w:rsidR="003E1D58" w:rsidRDefault="003E1D58">
      <w:pPr>
        <w:contextualSpacing/>
        <w:rPr>
          <w:rFonts w:ascii="Times New Roman" w:hAnsi="Times New Roman" w:cs="Times New Roman"/>
        </w:rPr>
      </w:pPr>
    </w:p>
    <w:p w:rsidR="00E15B31" w:rsidRDefault="00A554F1" w:rsidP="003E1D58">
      <w:pPr>
        <w:contextualSpacing/>
        <w:jc w:val="both"/>
        <w:rPr>
          <w:rFonts w:ascii="Times New Roman" w:hAnsi="Times New Roman" w:cs="Times New Roman"/>
        </w:rPr>
      </w:pPr>
      <w:r>
        <w:rPr>
          <w:rFonts w:ascii="Times New Roman" w:hAnsi="Times New Roman" w:cs="Times New Roman"/>
        </w:rPr>
        <w:t>Il ricorso davanti al Prefetto è invece gratuito, salvo le spese di invio della raccomandata se si presenta a mezzo posta, che però si annullano nel caso di inoltro a mezzo pec. Occorre però mettere in conto un eventuale rigetto della domanda che comporterebbe almeno il raddoppio della sanzione pecuniaria, così come previsto dall’articolo 204 del Codice. Non raddoppia, invece, la amministrativa accessoria (decurtazione dei punti della patente) perché non espressamente previsto dalla legge. Il Prefetto ha inoltre tempi tassativi per comunicare al ricorrente la propria decisione, decor</w:t>
      </w:r>
      <w:r w:rsidR="00F77DD2">
        <w:rPr>
          <w:rFonts w:ascii="Times New Roman" w:hAnsi="Times New Roman" w:cs="Times New Roman"/>
        </w:rPr>
        <w:t>si i quali il riscosso si intend</w:t>
      </w:r>
      <w:r>
        <w:rPr>
          <w:rFonts w:ascii="Times New Roman" w:hAnsi="Times New Roman" w:cs="Times New Roman"/>
        </w:rPr>
        <w:t>e automaticamente accolto. Questo termine è di 180 giorni se il ricorso è stato presentato presso l’organo accertatore e di 210 giorni se invece è stato presentato direttamente al Prefetto. Se il ricorrente ha chiesto di essere convocato per essere sentito, il termine è so</w:t>
      </w:r>
      <w:r w:rsidR="00E15B31">
        <w:rPr>
          <w:rFonts w:ascii="Times New Roman" w:hAnsi="Times New Roman" w:cs="Times New Roman"/>
        </w:rPr>
        <w:t>s</w:t>
      </w:r>
      <w:r>
        <w:rPr>
          <w:rFonts w:ascii="Times New Roman" w:hAnsi="Times New Roman" w:cs="Times New Roman"/>
        </w:rPr>
        <w:t>peso dal momento della convocazi</w:t>
      </w:r>
      <w:r w:rsidR="00E15B31">
        <w:rPr>
          <w:rFonts w:ascii="Times New Roman" w:hAnsi="Times New Roman" w:cs="Times New Roman"/>
        </w:rPr>
        <w:t>o</w:t>
      </w:r>
      <w:r>
        <w:rPr>
          <w:rFonts w:ascii="Times New Roman" w:hAnsi="Times New Roman" w:cs="Times New Roman"/>
        </w:rPr>
        <w:t xml:space="preserve">ne, fino al momento della effettiva audizione. </w:t>
      </w:r>
    </w:p>
    <w:p w:rsidR="003E1D58" w:rsidRDefault="003E1D58">
      <w:pPr>
        <w:contextualSpacing/>
        <w:rPr>
          <w:rFonts w:ascii="Times New Roman" w:hAnsi="Times New Roman" w:cs="Times New Roman"/>
        </w:rPr>
      </w:pPr>
    </w:p>
    <w:p w:rsidR="003E1D58" w:rsidRDefault="00A554F1" w:rsidP="003E1D58">
      <w:pPr>
        <w:contextualSpacing/>
        <w:jc w:val="both"/>
        <w:rPr>
          <w:rFonts w:ascii="Times New Roman" w:hAnsi="Times New Roman" w:cs="Times New Roman"/>
        </w:rPr>
      </w:pPr>
      <w:r>
        <w:rPr>
          <w:rFonts w:ascii="Times New Roman" w:hAnsi="Times New Roman" w:cs="Times New Roman"/>
        </w:rPr>
        <w:t>Contro l’ordinanza-ingiunzione del Prefetto è comunque sempre ammesso il ricorso davanti al giudice di pace, entro 30 giorni dalla notifica. I verbali devono essere notificati al proprietario del mezzo entro 90 giorni dalla data dell’infrazione e non dall’accertamento, come precisato dalla nota del ministero dell’Interno del 7 Novembre 2014. Il ritardo comporta la nullità del verbale e la possibilità di annullamento anche in autotutela rivolgendosi all’autorità che lo ha emesso senza dover far ricorso. Il diritto alla riscossione delle multe, invece, si prescrive in cinque anni. Pertanto se non sono intervenuti atti interruttivi, la cartella di pagamento della notifica in ritardo sarà nulla (di recente Tribunale di C</w:t>
      </w:r>
      <w:r w:rsidR="00E15B31">
        <w:rPr>
          <w:rFonts w:ascii="Times New Roman" w:hAnsi="Times New Roman" w:cs="Times New Roman"/>
        </w:rPr>
        <w:t>a</w:t>
      </w:r>
      <w:r>
        <w:rPr>
          <w:rFonts w:ascii="Times New Roman" w:hAnsi="Times New Roman" w:cs="Times New Roman"/>
        </w:rPr>
        <w:t xml:space="preserve">tanzaro, sez. V. sentenza del 13/072016). </w:t>
      </w:r>
    </w:p>
    <w:p w:rsidR="00A554F1" w:rsidRDefault="00A554F1" w:rsidP="003E1D58">
      <w:pPr>
        <w:contextualSpacing/>
        <w:jc w:val="both"/>
        <w:rPr>
          <w:rFonts w:ascii="Times New Roman" w:hAnsi="Times New Roman" w:cs="Times New Roman"/>
        </w:rPr>
      </w:pPr>
      <w:r>
        <w:rPr>
          <w:rFonts w:ascii="Times New Roman" w:hAnsi="Times New Roman" w:cs="Times New Roman"/>
        </w:rPr>
        <w:lastRenderedPageBreak/>
        <w:t>Inoltre la legge 164/2014 ha introdot</w:t>
      </w:r>
      <w:r w:rsidR="00E15B31">
        <w:rPr>
          <w:rFonts w:ascii="Times New Roman" w:hAnsi="Times New Roman" w:cs="Times New Roman"/>
        </w:rPr>
        <w:t>to la possibilità di pagare anc</w:t>
      </w:r>
      <w:r>
        <w:rPr>
          <w:rFonts w:ascii="Times New Roman" w:hAnsi="Times New Roman" w:cs="Times New Roman"/>
        </w:rPr>
        <w:t>he le sanzioni relative alle violazioni del codice della strada con prestazioni di pubblica utilità (c.d. baratto amministrativo). Le modalità di accesso al beneficio sono dettate dai singoli Comuni con regolamenti appositi che possono consentire di estinguere il debito con la partecipazione a progetti di pulizia o manutenzione delle aree pubbliche.</w:t>
      </w:r>
    </w:p>
    <w:p w:rsidR="00A554F1" w:rsidRDefault="00A554F1">
      <w:pPr>
        <w:contextualSpacing/>
        <w:rPr>
          <w:rFonts w:ascii="Times New Roman" w:hAnsi="Times New Roman" w:cs="Times New Roman"/>
        </w:rPr>
      </w:pPr>
    </w:p>
    <w:p w:rsidR="009A1501" w:rsidRDefault="009A1501">
      <w:pPr>
        <w:contextualSpacing/>
        <w:rPr>
          <w:rFonts w:ascii="Times New Roman" w:hAnsi="Times New Roman" w:cs="Times New Roman"/>
        </w:rPr>
      </w:pPr>
    </w:p>
    <w:p w:rsidR="009A1501" w:rsidRDefault="009A1501">
      <w:pPr>
        <w:contextualSpacing/>
        <w:rPr>
          <w:rFonts w:ascii="Times New Roman" w:hAnsi="Times New Roman" w:cs="Times New Roman"/>
        </w:rPr>
      </w:pPr>
    </w:p>
    <w:p w:rsidR="009A1501" w:rsidRDefault="009A1501">
      <w:pPr>
        <w:contextualSpacing/>
        <w:rPr>
          <w:rFonts w:ascii="Times New Roman" w:hAnsi="Times New Roman" w:cs="Times New Roman"/>
        </w:rPr>
      </w:pPr>
    </w:p>
    <w:p w:rsidR="006E6559" w:rsidRDefault="006E6559" w:rsidP="00F737B3">
      <w:pPr>
        <w:contextualSpacing/>
        <w:jc w:val="center"/>
        <w:rPr>
          <w:rFonts w:ascii="Times New Roman" w:hAnsi="Times New Roman" w:cs="Times New Roman"/>
          <w:u w:val="single"/>
        </w:rPr>
      </w:pPr>
    </w:p>
    <w:p w:rsidR="006E6559" w:rsidRDefault="006E6559" w:rsidP="00F737B3">
      <w:pPr>
        <w:contextualSpacing/>
        <w:jc w:val="center"/>
        <w:rPr>
          <w:rFonts w:ascii="Times New Roman" w:hAnsi="Times New Roman" w:cs="Times New Roman"/>
          <w:u w:val="single"/>
        </w:rPr>
      </w:pPr>
    </w:p>
    <w:p w:rsidR="006E6559" w:rsidRDefault="006E6559" w:rsidP="00F737B3">
      <w:pPr>
        <w:contextualSpacing/>
        <w:jc w:val="center"/>
        <w:rPr>
          <w:rFonts w:ascii="Times New Roman" w:hAnsi="Times New Roman" w:cs="Times New Roman"/>
          <w:u w:val="single"/>
        </w:rPr>
      </w:pPr>
    </w:p>
    <w:p w:rsidR="00680BCF" w:rsidRDefault="009A1501" w:rsidP="00F737B3">
      <w:pPr>
        <w:contextualSpacing/>
        <w:jc w:val="center"/>
        <w:rPr>
          <w:rFonts w:ascii="Times New Roman" w:hAnsi="Times New Roman" w:cs="Times New Roman"/>
          <w:u w:val="single"/>
        </w:rPr>
      </w:pPr>
      <w:r>
        <w:rPr>
          <w:rFonts w:ascii="Times New Roman" w:hAnsi="Times New Roman" w:cs="Times New Roman"/>
          <w:u w:val="single"/>
        </w:rPr>
        <w:t>CONT</w:t>
      </w:r>
      <w:r w:rsidR="00680BCF">
        <w:rPr>
          <w:rFonts w:ascii="Times New Roman" w:hAnsi="Times New Roman" w:cs="Times New Roman"/>
          <w:u w:val="single"/>
        </w:rPr>
        <w:t>R</w:t>
      </w:r>
      <w:r>
        <w:rPr>
          <w:rFonts w:ascii="Times New Roman" w:hAnsi="Times New Roman" w:cs="Times New Roman"/>
          <w:u w:val="single"/>
        </w:rPr>
        <w:t>IBU</w:t>
      </w:r>
      <w:r w:rsidR="00680BCF">
        <w:rPr>
          <w:rFonts w:ascii="Times New Roman" w:hAnsi="Times New Roman" w:cs="Times New Roman"/>
          <w:u w:val="single"/>
        </w:rPr>
        <w:t>T</w:t>
      </w:r>
      <w:r>
        <w:rPr>
          <w:rFonts w:ascii="Times New Roman" w:hAnsi="Times New Roman" w:cs="Times New Roman"/>
          <w:u w:val="single"/>
        </w:rPr>
        <w:t xml:space="preserve">O UNIFICATO </w:t>
      </w:r>
      <w:r w:rsidR="00680BCF">
        <w:rPr>
          <w:rFonts w:ascii="Times New Roman" w:hAnsi="Times New Roman" w:cs="Times New Roman"/>
          <w:u w:val="single"/>
        </w:rPr>
        <w:t xml:space="preserve">PER </w:t>
      </w:r>
      <w:r>
        <w:rPr>
          <w:rFonts w:ascii="Times New Roman" w:hAnsi="Times New Roman" w:cs="Times New Roman"/>
          <w:u w:val="single"/>
        </w:rPr>
        <w:t xml:space="preserve">ATTI GIUDIZIARI. </w:t>
      </w:r>
      <w:r w:rsidR="001748D0">
        <w:rPr>
          <w:rFonts w:ascii="Times New Roman" w:hAnsi="Times New Roman" w:cs="Times New Roman"/>
          <w:u w:val="single"/>
        </w:rPr>
        <w:t>PROCEDIMENTI ORDINARI</w:t>
      </w:r>
      <w:r w:rsidR="005A5BD8">
        <w:rPr>
          <w:rFonts w:ascii="Times New Roman" w:hAnsi="Times New Roman" w:cs="Times New Roman"/>
          <w:u w:val="single"/>
        </w:rPr>
        <w:t xml:space="preserve">, </w:t>
      </w:r>
    </w:p>
    <w:p w:rsidR="00F737B3" w:rsidRDefault="005A5BD8" w:rsidP="00F737B3">
      <w:pPr>
        <w:contextualSpacing/>
        <w:jc w:val="center"/>
        <w:rPr>
          <w:rFonts w:ascii="Times New Roman" w:hAnsi="Times New Roman" w:cs="Times New Roman"/>
          <w:u w:val="single"/>
        </w:rPr>
      </w:pPr>
      <w:r>
        <w:rPr>
          <w:rFonts w:ascii="Times New Roman" w:hAnsi="Times New Roman" w:cs="Times New Roman"/>
          <w:u w:val="single"/>
        </w:rPr>
        <w:t>RICORSO AVVERSO SANZIONI AMMINISTRATIVE (MULTE, ORDINANZE)</w:t>
      </w:r>
    </w:p>
    <w:p w:rsidR="001748D0" w:rsidRPr="009A1501" w:rsidRDefault="001748D0" w:rsidP="001748D0">
      <w:pPr>
        <w:contextualSpacing/>
        <w:jc w:val="center"/>
        <w:rPr>
          <w:rFonts w:ascii="Times New Roman" w:hAnsi="Times New Roman" w:cs="Times New Roman"/>
          <w:u w:val="single"/>
        </w:rPr>
      </w:pPr>
    </w:p>
    <w:tbl>
      <w:tblPr>
        <w:tblStyle w:val="Grigliatabella"/>
        <w:tblW w:w="10690" w:type="dxa"/>
        <w:tblLook w:val="0680" w:firstRow="0" w:lastRow="0" w:firstColumn="1" w:lastColumn="0" w:noHBand="1" w:noVBand="1"/>
      </w:tblPr>
      <w:tblGrid>
        <w:gridCol w:w="2121"/>
        <w:gridCol w:w="2121"/>
        <w:gridCol w:w="2121"/>
        <w:gridCol w:w="2121"/>
        <w:gridCol w:w="2206"/>
      </w:tblGrid>
      <w:tr w:rsidR="009A1501" w:rsidTr="00F737B3">
        <w:trPr>
          <w:trHeight w:val="947"/>
        </w:trPr>
        <w:tc>
          <w:tcPr>
            <w:tcW w:w="6363" w:type="dxa"/>
            <w:gridSpan w:val="3"/>
            <w:tcBorders>
              <w:left w:val="single" w:sz="4" w:space="0" w:color="auto"/>
            </w:tcBorders>
          </w:tcPr>
          <w:p w:rsidR="009A1501" w:rsidRPr="009A1501" w:rsidRDefault="009A1501" w:rsidP="009A1501">
            <w:pPr>
              <w:contextualSpacing/>
              <w:jc w:val="center"/>
              <w:rPr>
                <w:rFonts w:ascii="Times New Roman" w:hAnsi="Times New Roman" w:cs="Times New Roman"/>
                <w:b/>
                <w:sz w:val="24"/>
                <w:szCs w:val="24"/>
              </w:rPr>
            </w:pPr>
            <w:r w:rsidRPr="009A1501">
              <w:rPr>
                <w:rFonts w:ascii="Times New Roman" w:hAnsi="Times New Roman" w:cs="Times New Roman"/>
                <w:b/>
                <w:sz w:val="24"/>
                <w:szCs w:val="24"/>
              </w:rPr>
              <w:t>SCAGLIONI DI VALORE</w:t>
            </w:r>
          </w:p>
          <w:p w:rsidR="009A1501" w:rsidRDefault="00770C54" w:rsidP="00770C54">
            <w:pPr>
              <w:contextualSpacing/>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w:t>
            </w:r>
            <w:proofErr w:type="gramEnd"/>
            <w:r>
              <w:rPr>
                <w:rFonts w:ascii="Times New Roman" w:hAnsi="Times New Roman" w:cs="Times New Roman"/>
              </w:rPr>
              <w:t xml:space="preserve"> considera il valore della sanzione</w:t>
            </w:r>
            <w:r w:rsidR="002B638B">
              <w:rPr>
                <w:rFonts w:ascii="Times New Roman" w:hAnsi="Times New Roman" w:cs="Times New Roman"/>
              </w:rPr>
              <w:t xml:space="preserve"> - multa </w:t>
            </w:r>
            <w:proofErr w:type="spellStart"/>
            <w:r>
              <w:rPr>
                <w:rFonts w:ascii="Times New Roman" w:hAnsi="Times New Roman" w:cs="Times New Roman"/>
              </w:rPr>
              <w:t>piu’</w:t>
            </w:r>
            <w:proofErr w:type="spellEnd"/>
            <w:r w:rsidR="002B638B">
              <w:rPr>
                <w:rFonts w:ascii="Times New Roman" w:hAnsi="Times New Roman" w:cs="Times New Roman"/>
              </w:rPr>
              <w:t xml:space="preserve"> elevato</w:t>
            </w:r>
            <w:r>
              <w:rPr>
                <w:rFonts w:ascii="Times New Roman" w:hAnsi="Times New Roman" w:cs="Times New Roman"/>
              </w:rPr>
              <w:t>)</w:t>
            </w:r>
          </w:p>
          <w:p w:rsidR="009A1501" w:rsidRDefault="009A1501">
            <w:pPr>
              <w:contextualSpacing/>
              <w:rPr>
                <w:rFonts w:ascii="Times New Roman" w:hAnsi="Times New Roman" w:cs="Times New Roman"/>
              </w:rPr>
            </w:pPr>
          </w:p>
        </w:tc>
        <w:tc>
          <w:tcPr>
            <w:tcW w:w="2121" w:type="dxa"/>
          </w:tcPr>
          <w:p w:rsidR="009A1501" w:rsidRPr="009A1501" w:rsidRDefault="009A1501" w:rsidP="009A1501">
            <w:pPr>
              <w:contextualSpacing/>
              <w:jc w:val="center"/>
              <w:rPr>
                <w:rFonts w:ascii="Times New Roman" w:hAnsi="Times New Roman" w:cs="Times New Roman"/>
                <w:b/>
              </w:rPr>
            </w:pPr>
            <w:r w:rsidRPr="009A1501">
              <w:rPr>
                <w:rFonts w:ascii="Times New Roman" w:hAnsi="Times New Roman" w:cs="Times New Roman"/>
                <w:b/>
              </w:rPr>
              <w:t>CONTRIBUTO</w:t>
            </w:r>
          </w:p>
          <w:p w:rsidR="009A1501" w:rsidRPr="009A1501" w:rsidRDefault="009A1501" w:rsidP="009A1501">
            <w:pPr>
              <w:contextualSpacing/>
              <w:jc w:val="center"/>
              <w:rPr>
                <w:rFonts w:ascii="Times New Roman" w:hAnsi="Times New Roman" w:cs="Times New Roman"/>
                <w:b/>
              </w:rPr>
            </w:pPr>
            <w:r w:rsidRPr="009A1501">
              <w:rPr>
                <w:rFonts w:ascii="Times New Roman" w:hAnsi="Times New Roman" w:cs="Times New Roman"/>
                <w:b/>
              </w:rPr>
              <w:t>UNIFICATO</w:t>
            </w:r>
          </w:p>
          <w:p w:rsidR="009A1501" w:rsidRPr="009A1501" w:rsidRDefault="009A1501" w:rsidP="009A1501">
            <w:pPr>
              <w:contextualSpacing/>
              <w:jc w:val="center"/>
              <w:rPr>
                <w:rFonts w:ascii="Times New Roman" w:hAnsi="Times New Roman" w:cs="Times New Roman"/>
                <w:b/>
              </w:rPr>
            </w:pPr>
            <w:r w:rsidRPr="009A1501">
              <w:rPr>
                <w:rFonts w:ascii="Times New Roman" w:hAnsi="Times New Roman" w:cs="Times New Roman"/>
                <w:b/>
              </w:rPr>
              <w:t>EUR</w:t>
            </w:r>
            <w:r w:rsidR="00770C54">
              <w:rPr>
                <w:rFonts w:ascii="Times New Roman" w:hAnsi="Times New Roman" w:cs="Times New Roman"/>
                <w:b/>
              </w:rPr>
              <w:t>O</w:t>
            </w:r>
          </w:p>
        </w:tc>
        <w:tc>
          <w:tcPr>
            <w:tcW w:w="2206" w:type="dxa"/>
          </w:tcPr>
          <w:p w:rsidR="009A1501" w:rsidRPr="009A1501" w:rsidRDefault="009A1501" w:rsidP="009A1501">
            <w:pPr>
              <w:contextualSpacing/>
              <w:jc w:val="center"/>
              <w:rPr>
                <w:rFonts w:ascii="Times New Roman" w:hAnsi="Times New Roman" w:cs="Times New Roman"/>
                <w:b/>
              </w:rPr>
            </w:pPr>
            <w:r w:rsidRPr="009A1501">
              <w:rPr>
                <w:rFonts w:ascii="Times New Roman" w:hAnsi="Times New Roman" w:cs="Times New Roman"/>
                <w:b/>
              </w:rPr>
              <w:t>SPESE</w:t>
            </w:r>
          </w:p>
          <w:p w:rsidR="009A1501" w:rsidRPr="009A1501" w:rsidRDefault="009A1501" w:rsidP="009A1501">
            <w:pPr>
              <w:contextualSpacing/>
              <w:jc w:val="center"/>
              <w:rPr>
                <w:rFonts w:ascii="Times New Roman" w:hAnsi="Times New Roman" w:cs="Times New Roman"/>
                <w:b/>
              </w:rPr>
            </w:pPr>
            <w:r w:rsidRPr="009A1501">
              <w:rPr>
                <w:rFonts w:ascii="Times New Roman" w:hAnsi="Times New Roman" w:cs="Times New Roman"/>
                <w:b/>
              </w:rPr>
              <w:t>FORFETTIZZATE</w:t>
            </w:r>
          </w:p>
          <w:p w:rsidR="009A1501" w:rsidRPr="009A1501" w:rsidRDefault="009A1501" w:rsidP="009A1501">
            <w:pPr>
              <w:contextualSpacing/>
              <w:jc w:val="center"/>
              <w:rPr>
                <w:rFonts w:ascii="Times New Roman" w:hAnsi="Times New Roman" w:cs="Times New Roman"/>
                <w:b/>
              </w:rPr>
            </w:pPr>
            <w:r w:rsidRPr="009A1501">
              <w:rPr>
                <w:rFonts w:ascii="Times New Roman" w:hAnsi="Times New Roman" w:cs="Times New Roman"/>
                <w:b/>
              </w:rPr>
              <w:t>EUR</w:t>
            </w:r>
            <w:r w:rsidR="00770C54">
              <w:rPr>
                <w:rFonts w:ascii="Times New Roman" w:hAnsi="Times New Roman" w:cs="Times New Roman"/>
                <w:b/>
              </w:rPr>
              <w:t>O</w:t>
            </w:r>
          </w:p>
        </w:tc>
      </w:tr>
      <w:tr w:rsidR="009A1501" w:rsidTr="00F737B3">
        <w:trPr>
          <w:trHeight w:val="619"/>
        </w:trPr>
        <w:tc>
          <w:tcPr>
            <w:tcW w:w="2121" w:type="dxa"/>
          </w:tcPr>
          <w:p w:rsidR="009A1501" w:rsidRPr="009A1501" w:rsidRDefault="009A1501">
            <w:pPr>
              <w:contextualSpacing/>
              <w:rPr>
                <w:rFonts w:ascii="Times New Roman" w:hAnsi="Times New Roman" w:cs="Times New Roman"/>
                <w:b/>
              </w:rPr>
            </w:pPr>
            <w:r w:rsidRPr="009A1501">
              <w:rPr>
                <w:rFonts w:ascii="Times New Roman" w:hAnsi="Times New Roman" w:cs="Times New Roman"/>
                <w:b/>
              </w:rPr>
              <w:t xml:space="preserve">FINO </w:t>
            </w:r>
          </w:p>
          <w:p w:rsidR="009A1501" w:rsidRPr="009A1501" w:rsidRDefault="009A1501">
            <w:pPr>
              <w:contextualSpacing/>
              <w:rPr>
                <w:rFonts w:ascii="Times New Roman" w:hAnsi="Times New Roman" w:cs="Times New Roman"/>
                <w:b/>
              </w:rPr>
            </w:pPr>
            <w:r w:rsidRPr="009A1501">
              <w:rPr>
                <w:rFonts w:ascii="Times New Roman" w:hAnsi="Times New Roman" w:cs="Times New Roman"/>
                <w:b/>
              </w:rPr>
              <w:t>A EUR</w:t>
            </w:r>
            <w:r w:rsidR="00770C54">
              <w:rPr>
                <w:rFonts w:ascii="Times New Roman" w:hAnsi="Times New Roman" w:cs="Times New Roman"/>
                <w:b/>
              </w:rPr>
              <w:t>O</w:t>
            </w:r>
          </w:p>
        </w:tc>
        <w:tc>
          <w:tcPr>
            <w:tcW w:w="2121" w:type="dxa"/>
          </w:tcPr>
          <w:p w:rsidR="009A1501" w:rsidRDefault="009A1501" w:rsidP="009A1501">
            <w:pPr>
              <w:contextualSpacing/>
              <w:jc w:val="center"/>
              <w:rPr>
                <w:rFonts w:ascii="Times New Roman" w:hAnsi="Times New Roman" w:cs="Times New Roman"/>
              </w:rPr>
            </w:pPr>
          </w:p>
        </w:tc>
        <w:tc>
          <w:tcPr>
            <w:tcW w:w="2121"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1.033,00</w:t>
            </w:r>
          </w:p>
        </w:tc>
        <w:tc>
          <w:tcPr>
            <w:tcW w:w="2121"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43,00</w:t>
            </w:r>
          </w:p>
        </w:tc>
        <w:tc>
          <w:tcPr>
            <w:tcW w:w="2206"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NO</w:t>
            </w:r>
          </w:p>
        </w:tc>
      </w:tr>
      <w:tr w:rsidR="009A1501" w:rsidTr="00F737B3">
        <w:trPr>
          <w:trHeight w:val="601"/>
        </w:trPr>
        <w:tc>
          <w:tcPr>
            <w:tcW w:w="2121" w:type="dxa"/>
          </w:tcPr>
          <w:p w:rsidR="009A1501" w:rsidRPr="009A1501" w:rsidRDefault="009A1501">
            <w:pPr>
              <w:contextualSpacing/>
              <w:rPr>
                <w:rFonts w:ascii="Times New Roman" w:hAnsi="Times New Roman" w:cs="Times New Roman"/>
                <w:b/>
              </w:rPr>
            </w:pPr>
            <w:r w:rsidRPr="009A1501">
              <w:rPr>
                <w:rFonts w:ascii="Times New Roman" w:hAnsi="Times New Roman" w:cs="Times New Roman"/>
                <w:b/>
              </w:rPr>
              <w:t>DA EUR</w:t>
            </w:r>
            <w:r w:rsidR="00770C54">
              <w:rPr>
                <w:rFonts w:ascii="Times New Roman" w:hAnsi="Times New Roman" w:cs="Times New Roman"/>
                <w:b/>
              </w:rPr>
              <w:t>O</w:t>
            </w:r>
          </w:p>
          <w:p w:rsidR="009A1501" w:rsidRPr="009A1501" w:rsidRDefault="009A1501">
            <w:pPr>
              <w:contextualSpacing/>
              <w:rPr>
                <w:rFonts w:ascii="Times New Roman" w:hAnsi="Times New Roman" w:cs="Times New Roman"/>
                <w:b/>
              </w:rPr>
            </w:pPr>
            <w:r w:rsidRPr="009A1501">
              <w:rPr>
                <w:rFonts w:ascii="Times New Roman" w:hAnsi="Times New Roman" w:cs="Times New Roman"/>
                <w:b/>
              </w:rPr>
              <w:t>A</w:t>
            </w:r>
          </w:p>
        </w:tc>
        <w:tc>
          <w:tcPr>
            <w:tcW w:w="2121"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1.</w:t>
            </w:r>
            <w:r w:rsidR="006E6559">
              <w:rPr>
                <w:rFonts w:ascii="Times New Roman" w:hAnsi="Times New Roman" w:cs="Times New Roman"/>
              </w:rPr>
              <w:t>0</w:t>
            </w:r>
            <w:r>
              <w:rPr>
                <w:rFonts w:ascii="Times New Roman" w:hAnsi="Times New Roman" w:cs="Times New Roman"/>
              </w:rPr>
              <w:t>33,00</w:t>
            </w:r>
          </w:p>
        </w:tc>
        <w:tc>
          <w:tcPr>
            <w:tcW w:w="2121"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1.100,00</w:t>
            </w:r>
          </w:p>
        </w:tc>
        <w:tc>
          <w:tcPr>
            <w:tcW w:w="2121"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43,00</w:t>
            </w:r>
          </w:p>
        </w:tc>
        <w:tc>
          <w:tcPr>
            <w:tcW w:w="2206"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27,00</w:t>
            </w:r>
          </w:p>
        </w:tc>
      </w:tr>
      <w:tr w:rsidR="009A1501" w:rsidTr="00F737B3">
        <w:trPr>
          <w:trHeight w:val="601"/>
        </w:trPr>
        <w:tc>
          <w:tcPr>
            <w:tcW w:w="2121" w:type="dxa"/>
          </w:tcPr>
          <w:p w:rsidR="009A1501" w:rsidRPr="009A1501" w:rsidRDefault="00770C54">
            <w:pPr>
              <w:contextualSpacing/>
              <w:rPr>
                <w:rFonts w:ascii="Times New Roman" w:hAnsi="Times New Roman" w:cs="Times New Roman"/>
                <w:b/>
              </w:rPr>
            </w:pPr>
            <w:r>
              <w:rPr>
                <w:rFonts w:ascii="Times New Roman" w:hAnsi="Times New Roman" w:cs="Times New Roman"/>
                <w:b/>
              </w:rPr>
              <w:t>DA EURO</w:t>
            </w:r>
          </w:p>
          <w:p w:rsidR="009A1501" w:rsidRPr="009A1501" w:rsidRDefault="009A1501">
            <w:pPr>
              <w:contextualSpacing/>
              <w:rPr>
                <w:rFonts w:ascii="Times New Roman" w:hAnsi="Times New Roman" w:cs="Times New Roman"/>
                <w:b/>
              </w:rPr>
            </w:pPr>
            <w:r w:rsidRPr="009A1501">
              <w:rPr>
                <w:rFonts w:ascii="Times New Roman" w:hAnsi="Times New Roman" w:cs="Times New Roman"/>
                <w:b/>
              </w:rPr>
              <w:t>A</w:t>
            </w:r>
          </w:p>
        </w:tc>
        <w:tc>
          <w:tcPr>
            <w:tcW w:w="2121"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1.100,00</w:t>
            </w:r>
          </w:p>
        </w:tc>
        <w:tc>
          <w:tcPr>
            <w:tcW w:w="2121"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5.200,00</w:t>
            </w:r>
          </w:p>
        </w:tc>
        <w:tc>
          <w:tcPr>
            <w:tcW w:w="2121"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98,00</w:t>
            </w:r>
          </w:p>
        </w:tc>
        <w:tc>
          <w:tcPr>
            <w:tcW w:w="2206"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27,00</w:t>
            </w:r>
          </w:p>
        </w:tc>
      </w:tr>
      <w:tr w:rsidR="009A1501" w:rsidTr="00F737B3">
        <w:trPr>
          <w:trHeight w:val="619"/>
        </w:trPr>
        <w:tc>
          <w:tcPr>
            <w:tcW w:w="2121" w:type="dxa"/>
          </w:tcPr>
          <w:p w:rsidR="009A1501" w:rsidRPr="009A1501" w:rsidRDefault="009A1501">
            <w:pPr>
              <w:contextualSpacing/>
              <w:rPr>
                <w:rFonts w:ascii="Times New Roman" w:hAnsi="Times New Roman" w:cs="Times New Roman"/>
                <w:b/>
              </w:rPr>
            </w:pPr>
            <w:r w:rsidRPr="009A1501">
              <w:rPr>
                <w:rFonts w:ascii="Times New Roman" w:hAnsi="Times New Roman" w:cs="Times New Roman"/>
                <w:b/>
              </w:rPr>
              <w:t>DA EUR</w:t>
            </w:r>
            <w:r w:rsidR="00770C54">
              <w:rPr>
                <w:rFonts w:ascii="Times New Roman" w:hAnsi="Times New Roman" w:cs="Times New Roman"/>
                <w:b/>
              </w:rPr>
              <w:t>O</w:t>
            </w:r>
          </w:p>
          <w:p w:rsidR="009A1501" w:rsidRPr="009A1501" w:rsidRDefault="009A1501">
            <w:pPr>
              <w:contextualSpacing/>
              <w:rPr>
                <w:rFonts w:ascii="Times New Roman" w:hAnsi="Times New Roman" w:cs="Times New Roman"/>
                <w:b/>
              </w:rPr>
            </w:pPr>
            <w:r w:rsidRPr="009A1501">
              <w:rPr>
                <w:rFonts w:ascii="Times New Roman" w:hAnsi="Times New Roman" w:cs="Times New Roman"/>
                <w:b/>
              </w:rPr>
              <w:t>A</w:t>
            </w:r>
          </w:p>
        </w:tc>
        <w:tc>
          <w:tcPr>
            <w:tcW w:w="2121"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5.200,00</w:t>
            </w:r>
          </w:p>
        </w:tc>
        <w:tc>
          <w:tcPr>
            <w:tcW w:w="2121"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20.000,00</w:t>
            </w:r>
          </w:p>
        </w:tc>
        <w:tc>
          <w:tcPr>
            <w:tcW w:w="2121"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237,00</w:t>
            </w:r>
          </w:p>
        </w:tc>
        <w:tc>
          <w:tcPr>
            <w:tcW w:w="2206"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27,00</w:t>
            </w:r>
          </w:p>
        </w:tc>
      </w:tr>
      <w:tr w:rsidR="009A1501" w:rsidTr="00F737B3">
        <w:trPr>
          <w:trHeight w:val="619"/>
        </w:trPr>
        <w:tc>
          <w:tcPr>
            <w:tcW w:w="6363" w:type="dxa"/>
            <w:gridSpan w:val="3"/>
          </w:tcPr>
          <w:p w:rsidR="009A1501" w:rsidRPr="009A1501" w:rsidRDefault="009A1501" w:rsidP="009A1501">
            <w:pPr>
              <w:contextualSpacing/>
              <w:jc w:val="center"/>
              <w:rPr>
                <w:rFonts w:ascii="Times New Roman" w:hAnsi="Times New Roman" w:cs="Times New Roman"/>
                <w:b/>
              </w:rPr>
            </w:pPr>
            <w:r w:rsidRPr="009A1501">
              <w:rPr>
                <w:rFonts w:ascii="Times New Roman" w:hAnsi="Times New Roman" w:cs="Times New Roman"/>
                <w:b/>
              </w:rPr>
              <w:t>VALORE INDETERMINATO E</w:t>
            </w:r>
          </w:p>
          <w:p w:rsidR="009A1501" w:rsidRDefault="009A1501" w:rsidP="009A1501">
            <w:pPr>
              <w:contextualSpacing/>
              <w:jc w:val="center"/>
              <w:rPr>
                <w:rFonts w:ascii="Times New Roman" w:hAnsi="Times New Roman" w:cs="Times New Roman"/>
                <w:b/>
              </w:rPr>
            </w:pPr>
            <w:r w:rsidRPr="009A1501">
              <w:rPr>
                <w:rFonts w:ascii="Times New Roman" w:hAnsi="Times New Roman" w:cs="Times New Roman"/>
                <w:b/>
              </w:rPr>
              <w:t>INDETERMINABILE</w:t>
            </w:r>
          </w:p>
          <w:p w:rsidR="00770C54" w:rsidRPr="00770C54" w:rsidRDefault="00770C54" w:rsidP="009A1501">
            <w:pPr>
              <w:contextualSpacing/>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ordinanza</w:t>
            </w:r>
            <w:proofErr w:type="gramEnd"/>
            <w:r>
              <w:rPr>
                <w:rFonts w:ascii="Times New Roman" w:hAnsi="Times New Roman" w:cs="Times New Roman"/>
              </w:rPr>
              <w:t xml:space="preserve"> con valore non indicato – ad es. sospensione patente)</w:t>
            </w:r>
          </w:p>
        </w:tc>
        <w:tc>
          <w:tcPr>
            <w:tcW w:w="2121"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237,00</w:t>
            </w:r>
          </w:p>
        </w:tc>
        <w:tc>
          <w:tcPr>
            <w:tcW w:w="2206" w:type="dxa"/>
          </w:tcPr>
          <w:p w:rsidR="009A1501" w:rsidRDefault="009A1501" w:rsidP="009A1501">
            <w:pPr>
              <w:contextualSpacing/>
              <w:jc w:val="center"/>
              <w:rPr>
                <w:rFonts w:ascii="Times New Roman" w:hAnsi="Times New Roman" w:cs="Times New Roman"/>
              </w:rPr>
            </w:pPr>
            <w:r>
              <w:rPr>
                <w:rFonts w:ascii="Times New Roman" w:hAnsi="Times New Roman" w:cs="Times New Roman"/>
              </w:rPr>
              <w:t>27,00</w:t>
            </w:r>
          </w:p>
        </w:tc>
      </w:tr>
    </w:tbl>
    <w:p w:rsidR="009A1501" w:rsidRDefault="009A1501">
      <w:pPr>
        <w:contextualSpacing/>
        <w:rPr>
          <w:rFonts w:ascii="Times New Roman" w:hAnsi="Times New Roman" w:cs="Times New Roman"/>
        </w:rPr>
      </w:pPr>
    </w:p>
    <w:p w:rsidR="001748D0" w:rsidRDefault="001748D0">
      <w:pPr>
        <w:contextualSpacing/>
        <w:rPr>
          <w:rFonts w:ascii="Times New Roman" w:hAnsi="Times New Roman" w:cs="Times New Roman"/>
        </w:rPr>
      </w:pPr>
    </w:p>
    <w:p w:rsidR="00F737B3" w:rsidRPr="00A554F1" w:rsidRDefault="00F737B3">
      <w:pPr>
        <w:contextualSpacing/>
        <w:rPr>
          <w:rFonts w:ascii="Times New Roman" w:hAnsi="Times New Roman" w:cs="Times New Roman"/>
        </w:rPr>
      </w:pPr>
      <w:bookmarkStart w:id="0" w:name="_GoBack"/>
      <w:bookmarkEnd w:id="0"/>
    </w:p>
    <w:sectPr w:rsidR="00F737B3" w:rsidRPr="00A554F1" w:rsidSect="0008304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E5"/>
    <w:rsid w:val="0008304C"/>
    <w:rsid w:val="001748D0"/>
    <w:rsid w:val="00222A97"/>
    <w:rsid w:val="002B638B"/>
    <w:rsid w:val="003E1D58"/>
    <w:rsid w:val="004251FC"/>
    <w:rsid w:val="005A38D9"/>
    <w:rsid w:val="005A5BD8"/>
    <w:rsid w:val="00680BCF"/>
    <w:rsid w:val="006E6559"/>
    <w:rsid w:val="00770C54"/>
    <w:rsid w:val="008830DF"/>
    <w:rsid w:val="009A1501"/>
    <w:rsid w:val="00A554F1"/>
    <w:rsid w:val="00A64EB4"/>
    <w:rsid w:val="00B23B30"/>
    <w:rsid w:val="00C36FE5"/>
    <w:rsid w:val="00D568C3"/>
    <w:rsid w:val="00E15B31"/>
    <w:rsid w:val="00E4226A"/>
    <w:rsid w:val="00F737B3"/>
    <w:rsid w:val="00F77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7276C-8D2E-4E5D-9548-C77D588C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uiPriority w:val="99"/>
    <w:semiHidden/>
    <w:unhideWhenUsed/>
    <w:rsid w:val="00A554F1"/>
  </w:style>
  <w:style w:type="table" w:styleId="Grigliatabella">
    <w:name w:val="Table Grid"/>
    <w:basedOn w:val="Tabellanormale"/>
    <w:uiPriority w:val="59"/>
    <w:rsid w:val="009A1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841D7A-D6A1-4B31-A550-A60BAB74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bruno.sansoni</dc:creator>
  <cp:lastModifiedBy>Bruno Sansoni</cp:lastModifiedBy>
  <cp:revision>3</cp:revision>
  <cp:lastPrinted>2016-09-08T09:19:00Z</cp:lastPrinted>
  <dcterms:created xsi:type="dcterms:W3CDTF">2017-11-14T09:44:00Z</dcterms:created>
  <dcterms:modified xsi:type="dcterms:W3CDTF">2020-04-17T08:56:00Z</dcterms:modified>
</cp:coreProperties>
</file>